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B8E74" w14:textId="27A9ED68" w:rsidR="00D06A6E" w:rsidRPr="00D51458" w:rsidRDefault="00EA33EB" w:rsidP="00D06A6E">
      <w:pPr>
        <w:rPr>
          <w:rFonts w:ascii="Calibri" w:hAnsi="Calibri" w:cs="Calibri"/>
          <w:b/>
          <w:iCs/>
          <w:color w:val="000000"/>
        </w:rPr>
      </w:pPr>
      <w:r>
        <w:rPr>
          <w:b/>
          <w:u w:val="single"/>
        </w:rPr>
        <w:t>The Growth of Data Science in Financial Services Apprenticeships</w:t>
      </w:r>
      <w:r w:rsidR="0012699A">
        <w:rPr>
          <w:b/>
          <w:u w:val="single"/>
        </w:rPr>
        <w:t xml:space="preserve"> by Kevin Poulton</w:t>
      </w:r>
      <w:r w:rsidR="005C0399">
        <w:rPr>
          <w:b/>
          <w:u w:val="single"/>
        </w:rPr>
        <w:t xml:space="preserve"> </w:t>
      </w:r>
      <w:r w:rsidR="005C0399">
        <w:rPr>
          <w:b/>
          <w:i/>
        </w:rPr>
        <w:br/>
      </w:r>
      <w:r w:rsidR="005C0399" w:rsidRPr="006D0620">
        <w:rPr>
          <w:rFonts w:ascii="Calibri" w:hAnsi="Calibri" w:cs="Calibri"/>
          <w:b/>
          <w:color w:val="000000"/>
        </w:rPr>
        <w:br/>
      </w:r>
      <w:r w:rsidR="0086625A" w:rsidRPr="00D06A6E">
        <w:rPr>
          <w:rFonts w:ascii="Calibri" w:hAnsi="Calibri" w:cs="Calibri"/>
          <w:b/>
          <w:iCs/>
          <w:color w:val="000000"/>
        </w:rPr>
        <w:t>Data Science in general</w:t>
      </w:r>
    </w:p>
    <w:p w14:paraId="4E8B49F9" w14:textId="16D36F8B" w:rsidR="00D51458" w:rsidRDefault="0003769E" w:rsidP="00D06A6E">
      <w:pPr>
        <w:rPr>
          <w:rFonts w:ascii="Calibri" w:hAnsi="Calibri" w:cs="Calibri"/>
          <w:bCs/>
          <w:iCs/>
          <w:color w:val="000000"/>
        </w:rPr>
      </w:pPr>
      <w:r>
        <w:rPr>
          <w:rFonts w:ascii="Calibri" w:hAnsi="Calibri" w:cs="Calibri"/>
          <w:bCs/>
          <w:iCs/>
          <w:color w:val="000000"/>
        </w:rPr>
        <w:t xml:space="preserve">In </w:t>
      </w:r>
      <w:r w:rsidR="003D70DB">
        <w:rPr>
          <w:rFonts w:ascii="Calibri" w:hAnsi="Calibri" w:cs="Calibri"/>
          <w:bCs/>
          <w:iCs/>
          <w:color w:val="000000"/>
        </w:rPr>
        <w:t>2021</w:t>
      </w:r>
      <w:r>
        <w:rPr>
          <w:rFonts w:ascii="Calibri" w:hAnsi="Calibri" w:cs="Calibri"/>
          <w:bCs/>
          <w:iCs/>
          <w:color w:val="000000"/>
        </w:rPr>
        <w:t>,</w:t>
      </w:r>
      <w:r w:rsidR="003D70DB">
        <w:rPr>
          <w:rFonts w:ascii="Calibri" w:hAnsi="Calibri" w:cs="Calibri"/>
          <w:bCs/>
          <w:iCs/>
          <w:color w:val="000000"/>
        </w:rPr>
        <w:t xml:space="preserve"> some of the core technologies that organisations use to produc</w:t>
      </w:r>
      <w:r w:rsidR="00B95D8C">
        <w:rPr>
          <w:rFonts w:ascii="Calibri" w:hAnsi="Calibri" w:cs="Calibri"/>
          <w:bCs/>
          <w:iCs/>
          <w:color w:val="000000"/>
        </w:rPr>
        <w:t>e</w:t>
      </w:r>
      <w:r w:rsidR="003D70DB">
        <w:rPr>
          <w:rFonts w:ascii="Calibri" w:hAnsi="Calibri" w:cs="Calibri"/>
          <w:bCs/>
          <w:iCs/>
          <w:color w:val="000000"/>
        </w:rPr>
        <w:t xml:space="preserve"> </w:t>
      </w:r>
      <w:r w:rsidR="00B95D8C">
        <w:rPr>
          <w:rFonts w:ascii="Calibri" w:hAnsi="Calibri" w:cs="Calibri"/>
          <w:bCs/>
          <w:iCs/>
          <w:color w:val="000000"/>
        </w:rPr>
        <w:t xml:space="preserve">vast volumes of </w:t>
      </w:r>
      <w:r w:rsidR="003D70DB">
        <w:rPr>
          <w:rFonts w:ascii="Calibri" w:hAnsi="Calibri" w:cs="Calibri"/>
          <w:bCs/>
          <w:iCs/>
          <w:color w:val="000000"/>
        </w:rPr>
        <w:t>data</w:t>
      </w:r>
      <w:r>
        <w:rPr>
          <w:rFonts w:ascii="Calibri" w:hAnsi="Calibri" w:cs="Calibri"/>
          <w:bCs/>
          <w:iCs/>
          <w:color w:val="000000"/>
        </w:rPr>
        <w:t xml:space="preserve"> are now</w:t>
      </w:r>
      <w:r w:rsidR="003D70DB">
        <w:rPr>
          <w:rFonts w:ascii="Calibri" w:hAnsi="Calibri" w:cs="Calibri"/>
          <w:bCs/>
          <w:iCs/>
          <w:color w:val="000000"/>
        </w:rPr>
        <w:t xml:space="preserve"> reaching venerable status. </w:t>
      </w:r>
      <w:r w:rsidR="00B95D8C">
        <w:rPr>
          <w:rFonts w:ascii="Calibri" w:hAnsi="Calibri" w:cs="Calibri"/>
          <w:bCs/>
          <w:iCs/>
          <w:color w:val="000000"/>
        </w:rPr>
        <w:t>For example, i</w:t>
      </w:r>
      <w:r w:rsidR="003D70DB">
        <w:rPr>
          <w:rFonts w:ascii="Calibri" w:hAnsi="Calibri" w:cs="Calibri"/>
          <w:bCs/>
          <w:iCs/>
          <w:color w:val="000000"/>
        </w:rPr>
        <w:t>t marks the 15</w:t>
      </w:r>
      <w:r w:rsidR="007660E3">
        <w:rPr>
          <w:rFonts w:ascii="Calibri" w:hAnsi="Calibri" w:cs="Calibri"/>
          <w:bCs/>
          <w:iCs/>
          <w:color w:val="000000"/>
        </w:rPr>
        <w:t>-</w:t>
      </w:r>
      <w:r w:rsidR="003D70DB">
        <w:rPr>
          <w:rFonts w:ascii="Calibri" w:hAnsi="Calibri" w:cs="Calibri"/>
          <w:bCs/>
          <w:iCs/>
          <w:color w:val="000000"/>
        </w:rPr>
        <w:t>year</w:t>
      </w:r>
      <w:r>
        <w:rPr>
          <w:rFonts w:ascii="Calibri" w:hAnsi="Calibri" w:cs="Calibri"/>
          <w:bCs/>
          <w:iCs/>
          <w:color w:val="000000"/>
        </w:rPr>
        <w:t xml:space="preserve"> anniversary </w:t>
      </w:r>
      <w:r w:rsidR="003D70DB">
        <w:rPr>
          <w:rFonts w:ascii="Calibri" w:hAnsi="Calibri" w:cs="Calibri"/>
          <w:bCs/>
          <w:iCs/>
          <w:color w:val="000000"/>
        </w:rPr>
        <w:t>of the availability of cloud computing at scale</w:t>
      </w:r>
      <w:r w:rsidR="00235C5D">
        <w:rPr>
          <w:rFonts w:ascii="Calibri" w:hAnsi="Calibri" w:cs="Calibri"/>
          <w:bCs/>
          <w:iCs/>
          <w:color w:val="000000"/>
        </w:rPr>
        <w:t xml:space="preserve"> and </w:t>
      </w:r>
      <w:r w:rsidR="003D70DB">
        <w:rPr>
          <w:rFonts w:ascii="Calibri" w:hAnsi="Calibri" w:cs="Calibri"/>
          <w:bCs/>
          <w:iCs/>
          <w:color w:val="000000"/>
        </w:rPr>
        <w:t>16 years of mainstream Python adoption</w:t>
      </w:r>
      <w:r w:rsidR="00B95D8C">
        <w:rPr>
          <w:rFonts w:ascii="Calibri" w:hAnsi="Calibri" w:cs="Calibri"/>
          <w:bCs/>
          <w:iCs/>
          <w:color w:val="000000"/>
        </w:rPr>
        <w:t>. T</w:t>
      </w:r>
      <w:r w:rsidR="003D70DB">
        <w:rPr>
          <w:rFonts w:ascii="Calibri" w:hAnsi="Calibri" w:cs="Calibri"/>
          <w:bCs/>
          <w:iCs/>
          <w:color w:val="000000"/>
        </w:rPr>
        <w:t xml:space="preserve">hese technologies </w:t>
      </w:r>
      <w:r w:rsidR="00B95D8C">
        <w:rPr>
          <w:rFonts w:ascii="Calibri" w:hAnsi="Calibri" w:cs="Calibri"/>
          <w:bCs/>
          <w:iCs/>
          <w:color w:val="000000"/>
        </w:rPr>
        <w:t xml:space="preserve">might </w:t>
      </w:r>
      <w:r w:rsidR="00D51458">
        <w:rPr>
          <w:rFonts w:ascii="Calibri" w:hAnsi="Calibri" w:cs="Calibri"/>
          <w:bCs/>
          <w:iCs/>
          <w:color w:val="000000"/>
        </w:rPr>
        <w:t>be obscure to those outside of technology practice</w:t>
      </w:r>
      <w:r w:rsidR="003D70DB">
        <w:rPr>
          <w:rFonts w:ascii="Calibri" w:hAnsi="Calibri" w:cs="Calibri"/>
          <w:bCs/>
          <w:iCs/>
          <w:color w:val="000000"/>
        </w:rPr>
        <w:t>, but they</w:t>
      </w:r>
      <w:r>
        <w:rPr>
          <w:rFonts w:ascii="Calibri" w:hAnsi="Calibri" w:cs="Calibri"/>
          <w:bCs/>
          <w:iCs/>
          <w:color w:val="000000"/>
        </w:rPr>
        <w:t xml:space="preserve"> act</w:t>
      </w:r>
      <w:r w:rsidR="003D70DB">
        <w:rPr>
          <w:rFonts w:ascii="Calibri" w:hAnsi="Calibri" w:cs="Calibri"/>
          <w:bCs/>
          <w:iCs/>
          <w:color w:val="000000"/>
        </w:rPr>
        <w:t xml:space="preserve"> together as some of the </w:t>
      </w:r>
      <w:r>
        <w:rPr>
          <w:rFonts w:ascii="Calibri" w:hAnsi="Calibri" w:cs="Calibri"/>
          <w:bCs/>
          <w:iCs/>
          <w:color w:val="000000"/>
        </w:rPr>
        <w:t xml:space="preserve">key </w:t>
      </w:r>
      <w:r w:rsidR="003D70DB">
        <w:rPr>
          <w:rFonts w:ascii="Calibri" w:hAnsi="Calibri" w:cs="Calibri"/>
          <w:bCs/>
          <w:iCs/>
          <w:color w:val="000000"/>
        </w:rPr>
        <w:t xml:space="preserve">pillars that </w:t>
      </w:r>
      <w:r w:rsidR="00B95D8C">
        <w:rPr>
          <w:rFonts w:ascii="Calibri" w:hAnsi="Calibri" w:cs="Calibri"/>
          <w:bCs/>
          <w:iCs/>
          <w:color w:val="000000"/>
        </w:rPr>
        <w:t xml:space="preserve">have allowed companies to produce and manage huge volumes of data about their clients, their suppliers, their organisations and their products over the last decade and more. </w:t>
      </w:r>
    </w:p>
    <w:p w14:paraId="44A847D0" w14:textId="7E08C33C" w:rsidR="003D70DB" w:rsidRDefault="00B95D8C" w:rsidP="00D06A6E">
      <w:pPr>
        <w:rPr>
          <w:rFonts w:ascii="Calibri" w:hAnsi="Calibri" w:cs="Calibri"/>
          <w:bCs/>
          <w:iCs/>
          <w:color w:val="000000"/>
        </w:rPr>
      </w:pPr>
      <w:r>
        <w:rPr>
          <w:rFonts w:ascii="Calibri" w:hAnsi="Calibri" w:cs="Calibri"/>
          <w:bCs/>
          <w:iCs/>
          <w:color w:val="000000"/>
        </w:rPr>
        <w:t xml:space="preserve">However, these companies </w:t>
      </w:r>
      <w:r w:rsidR="00D51458">
        <w:rPr>
          <w:rFonts w:ascii="Calibri" w:hAnsi="Calibri" w:cs="Calibri"/>
          <w:bCs/>
          <w:iCs/>
          <w:color w:val="000000"/>
        </w:rPr>
        <w:t xml:space="preserve">all </w:t>
      </w:r>
      <w:r>
        <w:rPr>
          <w:rFonts w:ascii="Calibri" w:hAnsi="Calibri" w:cs="Calibri"/>
          <w:bCs/>
          <w:iCs/>
          <w:color w:val="000000"/>
        </w:rPr>
        <w:t xml:space="preserve">have </w:t>
      </w:r>
      <w:r w:rsidR="00D51458">
        <w:rPr>
          <w:rFonts w:ascii="Calibri" w:hAnsi="Calibri" w:cs="Calibri"/>
          <w:bCs/>
          <w:iCs/>
          <w:color w:val="000000"/>
        </w:rPr>
        <w:t xml:space="preserve">the same </w:t>
      </w:r>
      <w:r w:rsidR="00235C5D">
        <w:rPr>
          <w:rFonts w:ascii="Calibri" w:hAnsi="Calibri" w:cs="Calibri"/>
          <w:bCs/>
          <w:iCs/>
          <w:color w:val="000000"/>
        </w:rPr>
        <w:t>challenge</w:t>
      </w:r>
      <w:r>
        <w:rPr>
          <w:rFonts w:ascii="Calibri" w:hAnsi="Calibri" w:cs="Calibri"/>
          <w:bCs/>
          <w:iCs/>
          <w:color w:val="000000"/>
        </w:rPr>
        <w:t xml:space="preserve"> – just because you have a lot of something</w:t>
      </w:r>
      <w:r w:rsidR="0003769E">
        <w:rPr>
          <w:rFonts w:ascii="Calibri" w:hAnsi="Calibri" w:cs="Calibri"/>
          <w:bCs/>
          <w:iCs/>
          <w:color w:val="000000"/>
        </w:rPr>
        <w:t xml:space="preserve"> in front of you</w:t>
      </w:r>
      <w:r>
        <w:rPr>
          <w:rFonts w:ascii="Calibri" w:hAnsi="Calibri" w:cs="Calibri"/>
          <w:bCs/>
          <w:iCs/>
          <w:color w:val="000000"/>
        </w:rPr>
        <w:t xml:space="preserve">, doesn’t mean you can consume it. It turns out that the tools to </w:t>
      </w:r>
      <w:r w:rsidR="00D51458">
        <w:rPr>
          <w:rFonts w:ascii="Calibri" w:hAnsi="Calibri" w:cs="Calibri"/>
          <w:bCs/>
          <w:iCs/>
          <w:color w:val="000000"/>
        </w:rPr>
        <w:t xml:space="preserve">query, </w:t>
      </w:r>
      <w:r>
        <w:rPr>
          <w:rFonts w:ascii="Calibri" w:hAnsi="Calibri" w:cs="Calibri"/>
          <w:bCs/>
          <w:iCs/>
          <w:color w:val="000000"/>
        </w:rPr>
        <w:t xml:space="preserve">interpret </w:t>
      </w:r>
      <w:r w:rsidR="00D51458">
        <w:rPr>
          <w:rFonts w:ascii="Calibri" w:hAnsi="Calibri" w:cs="Calibri"/>
          <w:bCs/>
          <w:iCs/>
          <w:color w:val="000000"/>
        </w:rPr>
        <w:t xml:space="preserve">and </w:t>
      </w:r>
      <w:r>
        <w:rPr>
          <w:rFonts w:ascii="Calibri" w:hAnsi="Calibri" w:cs="Calibri"/>
          <w:bCs/>
          <w:iCs/>
          <w:color w:val="000000"/>
        </w:rPr>
        <w:t xml:space="preserve">make sense of </w:t>
      </w:r>
      <w:r w:rsidR="00D51458">
        <w:rPr>
          <w:rFonts w:ascii="Calibri" w:hAnsi="Calibri" w:cs="Calibri"/>
          <w:bCs/>
          <w:iCs/>
          <w:color w:val="000000"/>
        </w:rPr>
        <w:t xml:space="preserve">this sea of data </w:t>
      </w:r>
      <w:r>
        <w:rPr>
          <w:rFonts w:ascii="Calibri" w:hAnsi="Calibri" w:cs="Calibri"/>
          <w:bCs/>
          <w:iCs/>
          <w:color w:val="000000"/>
        </w:rPr>
        <w:t xml:space="preserve">are much newer and </w:t>
      </w:r>
      <w:r w:rsidR="0003769E">
        <w:rPr>
          <w:rFonts w:ascii="Calibri" w:hAnsi="Calibri" w:cs="Calibri"/>
          <w:bCs/>
          <w:iCs/>
          <w:color w:val="000000"/>
        </w:rPr>
        <w:t xml:space="preserve">are </w:t>
      </w:r>
      <w:r>
        <w:rPr>
          <w:rFonts w:ascii="Calibri" w:hAnsi="Calibri" w:cs="Calibri"/>
          <w:bCs/>
          <w:iCs/>
          <w:color w:val="000000"/>
        </w:rPr>
        <w:t>just reach</w:t>
      </w:r>
      <w:r w:rsidR="0003769E">
        <w:rPr>
          <w:rFonts w:ascii="Calibri" w:hAnsi="Calibri" w:cs="Calibri"/>
          <w:bCs/>
          <w:iCs/>
          <w:color w:val="000000"/>
        </w:rPr>
        <w:t xml:space="preserve">ing </w:t>
      </w:r>
      <w:r>
        <w:rPr>
          <w:rFonts w:ascii="Calibri" w:hAnsi="Calibri" w:cs="Calibri"/>
          <w:bCs/>
          <w:iCs/>
          <w:color w:val="000000"/>
        </w:rPr>
        <w:t>maturity – whether off the shelf tools like Microsoft Power BI or more advanced developer functionality like TensorFlow</w:t>
      </w:r>
      <w:r w:rsidR="00D51458">
        <w:rPr>
          <w:rFonts w:ascii="Calibri" w:hAnsi="Calibri" w:cs="Calibri"/>
          <w:bCs/>
          <w:iCs/>
          <w:color w:val="000000"/>
        </w:rPr>
        <w:t>, both of which</w:t>
      </w:r>
      <w:r w:rsidR="00070036">
        <w:rPr>
          <w:rFonts w:ascii="Calibri" w:hAnsi="Calibri" w:cs="Calibri"/>
          <w:bCs/>
          <w:iCs/>
          <w:color w:val="000000"/>
        </w:rPr>
        <w:t>, like many of the now</w:t>
      </w:r>
      <w:r w:rsidR="007660E3">
        <w:rPr>
          <w:rFonts w:ascii="Calibri" w:hAnsi="Calibri" w:cs="Calibri"/>
          <w:bCs/>
          <w:iCs/>
          <w:color w:val="000000"/>
        </w:rPr>
        <w:t xml:space="preserve"> </w:t>
      </w:r>
      <w:r w:rsidR="00070036">
        <w:rPr>
          <w:rFonts w:ascii="Calibri" w:hAnsi="Calibri" w:cs="Calibri"/>
          <w:bCs/>
          <w:iCs/>
          <w:color w:val="000000"/>
        </w:rPr>
        <w:t>flagship tools in the data interpretation space,</w:t>
      </w:r>
      <w:r w:rsidR="00D51458">
        <w:rPr>
          <w:rFonts w:ascii="Calibri" w:hAnsi="Calibri" w:cs="Calibri"/>
          <w:bCs/>
          <w:iCs/>
          <w:color w:val="000000"/>
        </w:rPr>
        <w:t xml:space="preserve"> have only reached mainstream adoption in the last few years. This has created an opportunity and a problem – business expectations for what can be achieved by data interpretation ha</w:t>
      </w:r>
      <w:r w:rsidR="0003769E">
        <w:rPr>
          <w:rFonts w:ascii="Calibri" w:hAnsi="Calibri" w:cs="Calibri"/>
          <w:bCs/>
          <w:iCs/>
          <w:color w:val="000000"/>
        </w:rPr>
        <w:t>ve</w:t>
      </w:r>
      <w:r w:rsidR="00D51458">
        <w:rPr>
          <w:rFonts w:ascii="Calibri" w:hAnsi="Calibri" w:cs="Calibri"/>
          <w:bCs/>
          <w:iCs/>
          <w:color w:val="000000"/>
        </w:rPr>
        <w:t xml:space="preserve"> increased and yet the relative youth of the tools used to undertake this interpretation at scale mean</w:t>
      </w:r>
      <w:r w:rsidR="0003769E">
        <w:rPr>
          <w:rFonts w:ascii="Calibri" w:hAnsi="Calibri" w:cs="Calibri"/>
          <w:bCs/>
          <w:iCs/>
          <w:color w:val="000000"/>
        </w:rPr>
        <w:t>s that</w:t>
      </w:r>
      <w:r w:rsidR="00D51458">
        <w:rPr>
          <w:rFonts w:ascii="Calibri" w:hAnsi="Calibri" w:cs="Calibri"/>
          <w:bCs/>
          <w:iCs/>
          <w:color w:val="000000"/>
        </w:rPr>
        <w:t xml:space="preserve"> the skills to use them are not yet fully embedded in the </w:t>
      </w:r>
      <w:r w:rsidR="00070036">
        <w:rPr>
          <w:rFonts w:ascii="Calibri" w:hAnsi="Calibri" w:cs="Calibri"/>
          <w:bCs/>
          <w:iCs/>
          <w:color w:val="000000"/>
        </w:rPr>
        <w:t>workforce</w:t>
      </w:r>
      <w:r w:rsidR="00D51458">
        <w:rPr>
          <w:rFonts w:ascii="Calibri" w:hAnsi="Calibri" w:cs="Calibri"/>
          <w:bCs/>
          <w:iCs/>
          <w:color w:val="000000"/>
        </w:rPr>
        <w:t xml:space="preserve">. </w:t>
      </w:r>
    </w:p>
    <w:p w14:paraId="4A7BE660" w14:textId="32CAFFDF" w:rsidR="00D51458" w:rsidRPr="00D51458" w:rsidRDefault="00D51458" w:rsidP="00D06A6E">
      <w:pPr>
        <w:rPr>
          <w:rFonts w:ascii="Calibri" w:hAnsi="Calibri" w:cs="Calibri"/>
          <w:b/>
          <w:iCs/>
          <w:color w:val="000000"/>
        </w:rPr>
      </w:pPr>
      <w:r>
        <w:rPr>
          <w:rFonts w:ascii="Calibri" w:hAnsi="Calibri" w:cs="Calibri"/>
          <w:b/>
          <w:iCs/>
          <w:color w:val="000000"/>
        </w:rPr>
        <w:t>Making it relevant to Financial Services</w:t>
      </w:r>
    </w:p>
    <w:p w14:paraId="10889747" w14:textId="1F2EB768" w:rsidR="00070036" w:rsidRDefault="00070036" w:rsidP="00D06A6E">
      <w:pPr>
        <w:rPr>
          <w:rFonts w:ascii="Calibri" w:hAnsi="Calibri" w:cs="Calibri"/>
          <w:bCs/>
          <w:iCs/>
          <w:color w:val="000000"/>
        </w:rPr>
      </w:pPr>
      <w:r>
        <w:rPr>
          <w:rFonts w:ascii="Calibri" w:hAnsi="Calibri" w:cs="Calibri"/>
          <w:bCs/>
          <w:iCs/>
          <w:color w:val="000000"/>
        </w:rPr>
        <w:t>There is no doubt that Financial Services as an industry has brought into Data Science as a discipline. Finance, with its acute focus on making predictions about the short, medium and long term has long invested in data and technology</w:t>
      </w:r>
      <w:r w:rsidR="0003769E">
        <w:rPr>
          <w:rFonts w:ascii="Calibri" w:hAnsi="Calibri" w:cs="Calibri"/>
          <w:bCs/>
          <w:iCs/>
          <w:color w:val="000000"/>
        </w:rPr>
        <w:t>,</w:t>
      </w:r>
      <w:r>
        <w:rPr>
          <w:rFonts w:ascii="Calibri" w:hAnsi="Calibri" w:cs="Calibri"/>
          <w:bCs/>
          <w:iCs/>
          <w:color w:val="000000"/>
        </w:rPr>
        <w:t xml:space="preserve"> but we see many of our clients going through transitions that mean these tools are moving from an enabler – how do </w:t>
      </w:r>
      <w:r w:rsidR="00235C5D">
        <w:rPr>
          <w:rFonts w:ascii="Calibri" w:hAnsi="Calibri" w:cs="Calibri"/>
          <w:bCs/>
          <w:iCs/>
          <w:color w:val="000000"/>
        </w:rPr>
        <w:t xml:space="preserve">they </w:t>
      </w:r>
      <w:r>
        <w:rPr>
          <w:rFonts w:ascii="Calibri" w:hAnsi="Calibri" w:cs="Calibri"/>
          <w:bCs/>
          <w:iCs/>
          <w:color w:val="000000"/>
        </w:rPr>
        <w:t xml:space="preserve">make </w:t>
      </w:r>
      <w:r w:rsidR="00235C5D">
        <w:rPr>
          <w:rFonts w:ascii="Calibri" w:hAnsi="Calibri" w:cs="Calibri"/>
          <w:bCs/>
          <w:iCs/>
          <w:color w:val="000000"/>
        </w:rPr>
        <w:t xml:space="preserve">their </w:t>
      </w:r>
      <w:r>
        <w:rPr>
          <w:rFonts w:ascii="Calibri" w:hAnsi="Calibri" w:cs="Calibri"/>
          <w:bCs/>
          <w:iCs/>
          <w:color w:val="000000"/>
        </w:rPr>
        <w:t>legacy process</w:t>
      </w:r>
      <w:r w:rsidR="00235C5D">
        <w:rPr>
          <w:rFonts w:ascii="Calibri" w:hAnsi="Calibri" w:cs="Calibri"/>
          <w:bCs/>
          <w:iCs/>
          <w:color w:val="000000"/>
        </w:rPr>
        <w:t>es</w:t>
      </w:r>
      <w:r>
        <w:rPr>
          <w:rFonts w:ascii="Calibri" w:hAnsi="Calibri" w:cs="Calibri"/>
          <w:bCs/>
          <w:iCs/>
          <w:color w:val="000000"/>
        </w:rPr>
        <w:t xml:space="preserve"> and approaches work better to a foundational part of the service offered</w:t>
      </w:r>
      <w:r w:rsidR="00235C5D">
        <w:rPr>
          <w:rFonts w:ascii="Calibri" w:hAnsi="Calibri" w:cs="Calibri"/>
          <w:bCs/>
          <w:iCs/>
          <w:color w:val="000000"/>
        </w:rPr>
        <w:t xml:space="preserve"> – they identify as data companies</w:t>
      </w:r>
      <w:r>
        <w:rPr>
          <w:rFonts w:ascii="Calibri" w:hAnsi="Calibri" w:cs="Calibri"/>
          <w:bCs/>
          <w:iCs/>
          <w:color w:val="000000"/>
        </w:rPr>
        <w:t xml:space="preserve">. Even in parts of the industry where the service remains centred on people, leaders have one eye on the future – we were recently asked by a large wealth manager based in Asia to help embed learnings in their advisory population on how to differentiate their services from </w:t>
      </w:r>
      <w:r w:rsidR="00235C5D">
        <w:rPr>
          <w:rFonts w:ascii="Calibri" w:hAnsi="Calibri" w:cs="Calibri"/>
          <w:bCs/>
          <w:iCs/>
          <w:color w:val="000000"/>
        </w:rPr>
        <w:t xml:space="preserve">data driven technology </w:t>
      </w:r>
      <w:r>
        <w:rPr>
          <w:rFonts w:ascii="Calibri" w:hAnsi="Calibri" w:cs="Calibri"/>
          <w:bCs/>
          <w:iCs/>
          <w:color w:val="000000"/>
        </w:rPr>
        <w:t xml:space="preserve">ones. </w:t>
      </w:r>
    </w:p>
    <w:p w14:paraId="733C25D6" w14:textId="69422F2F" w:rsidR="00B95D8C" w:rsidRDefault="00070036" w:rsidP="00D06A6E">
      <w:pPr>
        <w:rPr>
          <w:rFonts w:ascii="Calibri" w:hAnsi="Calibri" w:cs="Calibri"/>
          <w:bCs/>
          <w:iCs/>
          <w:color w:val="000000"/>
        </w:rPr>
      </w:pPr>
      <w:r>
        <w:rPr>
          <w:rFonts w:ascii="Calibri" w:hAnsi="Calibri" w:cs="Calibri"/>
          <w:bCs/>
          <w:iCs/>
          <w:color w:val="000000"/>
        </w:rPr>
        <w:t xml:space="preserve">And where the service is foundational, clients are betting big. For example, </w:t>
      </w:r>
      <w:r w:rsidR="00D51458" w:rsidRPr="00D51458">
        <w:rPr>
          <w:rFonts w:ascii="Calibri" w:hAnsi="Calibri" w:cs="Calibri"/>
          <w:bCs/>
          <w:iCs/>
          <w:color w:val="000000"/>
        </w:rPr>
        <w:t xml:space="preserve">Goldman Sachs has announced </w:t>
      </w:r>
      <w:r w:rsidR="00235C5D">
        <w:rPr>
          <w:rFonts w:ascii="Calibri" w:hAnsi="Calibri" w:cs="Calibri"/>
          <w:bCs/>
          <w:iCs/>
          <w:color w:val="000000"/>
        </w:rPr>
        <w:t xml:space="preserve">just prior to this article </w:t>
      </w:r>
      <w:r w:rsidR="00D51458" w:rsidRPr="00D51458">
        <w:rPr>
          <w:rFonts w:ascii="Calibri" w:hAnsi="Calibri" w:cs="Calibri"/>
          <w:bCs/>
          <w:iCs/>
          <w:color w:val="000000"/>
        </w:rPr>
        <w:t>that it is opening its biggest office in the UK outside London, creating hundreds of technology jobs in Birmingham. In recent years, Birmingham also became the home of 1,000 people from Deutsche Bank, mainly in back office and technology roles. Goldman will hire software engineers, data analysts and data scientists to work on new ways of delivering financial services at the Birmingham base, which will open by the end of the year.</w:t>
      </w:r>
      <w:r w:rsidR="00D51458">
        <w:rPr>
          <w:rFonts w:ascii="Calibri" w:hAnsi="Calibri" w:cs="Calibri"/>
          <w:bCs/>
          <w:iCs/>
          <w:color w:val="000000"/>
        </w:rPr>
        <w:t xml:space="preserve"> </w:t>
      </w:r>
    </w:p>
    <w:p w14:paraId="656531E7" w14:textId="707A9F40" w:rsidR="00070036" w:rsidRPr="00D51458" w:rsidRDefault="001C0F18" w:rsidP="00070036">
      <w:pPr>
        <w:rPr>
          <w:rFonts w:ascii="Calibri" w:hAnsi="Calibri" w:cs="Calibri"/>
          <w:b/>
          <w:iCs/>
          <w:color w:val="000000"/>
        </w:rPr>
      </w:pPr>
      <w:r>
        <w:rPr>
          <w:rFonts w:ascii="Calibri" w:hAnsi="Calibri" w:cs="Calibri"/>
          <w:b/>
          <w:iCs/>
          <w:color w:val="000000"/>
        </w:rPr>
        <w:t xml:space="preserve">The </w:t>
      </w:r>
      <w:r w:rsidR="00070036">
        <w:rPr>
          <w:rFonts w:ascii="Calibri" w:hAnsi="Calibri" w:cs="Calibri"/>
          <w:b/>
          <w:iCs/>
          <w:color w:val="000000"/>
        </w:rPr>
        <w:t xml:space="preserve">role </w:t>
      </w:r>
      <w:r>
        <w:rPr>
          <w:rFonts w:ascii="Calibri" w:hAnsi="Calibri" w:cs="Calibri"/>
          <w:b/>
          <w:iCs/>
          <w:color w:val="000000"/>
        </w:rPr>
        <w:t xml:space="preserve">of data science </w:t>
      </w:r>
      <w:r w:rsidR="00070036">
        <w:rPr>
          <w:rFonts w:ascii="Calibri" w:hAnsi="Calibri" w:cs="Calibri"/>
          <w:b/>
          <w:iCs/>
          <w:color w:val="000000"/>
        </w:rPr>
        <w:t>in early careers</w:t>
      </w:r>
    </w:p>
    <w:p w14:paraId="788F399F" w14:textId="3526DC25" w:rsidR="002B5709" w:rsidRDefault="00070036" w:rsidP="00D06A6E">
      <w:pPr>
        <w:rPr>
          <w:rFonts w:ascii="Calibri" w:hAnsi="Calibri" w:cs="Calibri"/>
          <w:bCs/>
          <w:iCs/>
          <w:color w:val="000000"/>
        </w:rPr>
      </w:pPr>
      <w:bookmarkStart w:id="0" w:name="_GoBack"/>
      <w:r>
        <w:rPr>
          <w:rFonts w:ascii="Calibri" w:hAnsi="Calibri" w:cs="Calibri"/>
          <w:bCs/>
          <w:iCs/>
          <w:color w:val="000000"/>
        </w:rPr>
        <w:t xml:space="preserve">Data science is a fantastic path for those beginning their finance careers. </w:t>
      </w:r>
      <w:bookmarkEnd w:id="0"/>
      <w:r w:rsidR="009519FE">
        <w:rPr>
          <w:rFonts w:ascii="Calibri" w:hAnsi="Calibri" w:cs="Calibri"/>
          <w:bCs/>
          <w:iCs/>
          <w:color w:val="000000"/>
        </w:rPr>
        <w:t xml:space="preserve">The barriers to entry are hard enough to mean it will </w:t>
      </w:r>
      <w:r w:rsidR="00416A95">
        <w:rPr>
          <w:rFonts w:ascii="Calibri" w:hAnsi="Calibri" w:cs="Calibri"/>
          <w:bCs/>
          <w:iCs/>
          <w:color w:val="000000"/>
        </w:rPr>
        <w:t xml:space="preserve">unlikely to </w:t>
      </w:r>
      <w:r w:rsidR="009519FE">
        <w:rPr>
          <w:rFonts w:ascii="Calibri" w:hAnsi="Calibri" w:cs="Calibri"/>
          <w:bCs/>
          <w:iCs/>
          <w:color w:val="000000"/>
        </w:rPr>
        <w:t>become oversaturated compared to the demand</w:t>
      </w:r>
      <w:r w:rsidR="001C0F18">
        <w:rPr>
          <w:rFonts w:ascii="Calibri" w:hAnsi="Calibri" w:cs="Calibri"/>
          <w:bCs/>
          <w:iCs/>
          <w:color w:val="000000"/>
        </w:rPr>
        <w:t xml:space="preserve"> </w:t>
      </w:r>
      <w:r w:rsidR="00215D59">
        <w:rPr>
          <w:rFonts w:ascii="Calibri" w:hAnsi="Calibri" w:cs="Calibri"/>
          <w:bCs/>
          <w:iCs/>
          <w:color w:val="000000"/>
        </w:rPr>
        <w:t>for at least five years or more</w:t>
      </w:r>
      <w:r w:rsidR="009519FE">
        <w:rPr>
          <w:rFonts w:ascii="Calibri" w:hAnsi="Calibri" w:cs="Calibri"/>
          <w:bCs/>
          <w:iCs/>
          <w:color w:val="000000"/>
        </w:rPr>
        <w:t>, but it is accessible in principle to all</w:t>
      </w:r>
      <w:r w:rsidR="00235C5D">
        <w:rPr>
          <w:rFonts w:ascii="Calibri" w:hAnsi="Calibri" w:cs="Calibri"/>
          <w:bCs/>
          <w:iCs/>
          <w:color w:val="000000"/>
        </w:rPr>
        <w:t xml:space="preserve"> (most tools used are free of charge in some form allowing you to learn with minimal outlay)</w:t>
      </w:r>
      <w:r w:rsidR="009519FE">
        <w:rPr>
          <w:rFonts w:ascii="Calibri" w:hAnsi="Calibri" w:cs="Calibri"/>
          <w:bCs/>
          <w:iCs/>
          <w:color w:val="000000"/>
        </w:rPr>
        <w:t>. An example of a career that did not exist ten years ago, it is rapidly becoming a profession</w:t>
      </w:r>
      <w:r w:rsidR="004A50C3">
        <w:rPr>
          <w:rFonts w:ascii="Calibri" w:hAnsi="Calibri" w:cs="Calibri"/>
          <w:bCs/>
          <w:iCs/>
          <w:color w:val="000000"/>
        </w:rPr>
        <w:t xml:space="preserve"> like accountancy or </w:t>
      </w:r>
      <w:r w:rsidR="00416A95">
        <w:rPr>
          <w:rFonts w:ascii="Calibri" w:hAnsi="Calibri" w:cs="Calibri"/>
          <w:bCs/>
          <w:iCs/>
          <w:color w:val="000000"/>
        </w:rPr>
        <w:t xml:space="preserve">consultancy; with defined </w:t>
      </w:r>
      <w:r w:rsidR="002B5709">
        <w:rPr>
          <w:rFonts w:ascii="Calibri" w:hAnsi="Calibri" w:cs="Calibri"/>
          <w:bCs/>
          <w:iCs/>
          <w:color w:val="000000"/>
        </w:rPr>
        <w:t xml:space="preserve">career </w:t>
      </w:r>
      <w:r w:rsidR="00416A95">
        <w:rPr>
          <w:rFonts w:ascii="Calibri" w:hAnsi="Calibri" w:cs="Calibri"/>
          <w:bCs/>
          <w:iCs/>
          <w:color w:val="000000"/>
        </w:rPr>
        <w:t xml:space="preserve">pathways, </w:t>
      </w:r>
      <w:r w:rsidR="002B5709">
        <w:rPr>
          <w:rFonts w:ascii="Calibri" w:hAnsi="Calibri" w:cs="Calibri"/>
          <w:bCs/>
          <w:iCs/>
          <w:color w:val="000000"/>
        </w:rPr>
        <w:t xml:space="preserve">many employers across different industries, and cross-applicability of skills that mean high career mobility. Constant and continual changes in technologies, approaches and business demands make </w:t>
      </w:r>
      <w:r w:rsidR="001C0F18">
        <w:rPr>
          <w:rFonts w:ascii="Calibri" w:hAnsi="Calibri" w:cs="Calibri"/>
          <w:bCs/>
          <w:iCs/>
          <w:color w:val="000000"/>
        </w:rPr>
        <w:t xml:space="preserve">this </w:t>
      </w:r>
      <w:r w:rsidR="002B5709">
        <w:rPr>
          <w:rFonts w:ascii="Calibri" w:hAnsi="Calibri" w:cs="Calibri"/>
          <w:bCs/>
          <w:iCs/>
          <w:color w:val="000000"/>
        </w:rPr>
        <w:t>an innovative and progressive space to be working on</w:t>
      </w:r>
      <w:r w:rsidR="00235C5D">
        <w:rPr>
          <w:rFonts w:ascii="Calibri" w:hAnsi="Calibri" w:cs="Calibri"/>
          <w:bCs/>
          <w:iCs/>
          <w:color w:val="000000"/>
        </w:rPr>
        <w:t xml:space="preserve">. </w:t>
      </w:r>
    </w:p>
    <w:p w14:paraId="24CBF041" w14:textId="4362B08E" w:rsidR="00B95D8C" w:rsidRDefault="002B5709" w:rsidP="00D06A6E">
      <w:pPr>
        <w:rPr>
          <w:rFonts w:ascii="Calibri" w:hAnsi="Calibri" w:cs="Calibri"/>
          <w:bCs/>
          <w:iCs/>
          <w:color w:val="000000"/>
        </w:rPr>
      </w:pPr>
      <w:r>
        <w:rPr>
          <w:rFonts w:ascii="Calibri" w:hAnsi="Calibri" w:cs="Calibri"/>
          <w:bCs/>
          <w:iCs/>
          <w:color w:val="000000"/>
        </w:rPr>
        <w:lastRenderedPageBreak/>
        <w:t xml:space="preserve">It also has a fantastic attribute that it allows exposure to many aspects of </w:t>
      </w:r>
      <w:r w:rsidR="00235C5D">
        <w:rPr>
          <w:rFonts w:ascii="Calibri" w:hAnsi="Calibri" w:cs="Calibri"/>
          <w:bCs/>
          <w:iCs/>
          <w:color w:val="000000"/>
        </w:rPr>
        <w:t>an</w:t>
      </w:r>
      <w:r>
        <w:rPr>
          <w:rFonts w:ascii="Calibri" w:hAnsi="Calibri" w:cs="Calibri"/>
          <w:bCs/>
          <w:iCs/>
          <w:color w:val="000000"/>
        </w:rPr>
        <w:t xml:space="preserve"> organisation. A new Data Analyst could enter a financial services employer and within twelve months be working on opportunities from any part of the organisation – client, product, marketing, finance, HR – and including specific strategic initiatives. For example, </w:t>
      </w:r>
      <w:r w:rsidR="00235C5D">
        <w:rPr>
          <w:rFonts w:ascii="Calibri" w:hAnsi="Calibri" w:cs="Calibri"/>
          <w:bCs/>
          <w:iCs/>
          <w:color w:val="000000"/>
        </w:rPr>
        <w:t xml:space="preserve">in the highly topical area of ESG investing, </w:t>
      </w:r>
      <w:r>
        <w:rPr>
          <w:rFonts w:ascii="Calibri" w:hAnsi="Calibri" w:cs="Calibri"/>
          <w:bCs/>
          <w:iCs/>
          <w:color w:val="000000"/>
        </w:rPr>
        <w:t xml:space="preserve">tracking the impact of sustainable investment </w:t>
      </w:r>
      <w:r w:rsidR="00235C5D">
        <w:rPr>
          <w:rFonts w:ascii="Calibri" w:hAnsi="Calibri" w:cs="Calibri"/>
          <w:bCs/>
          <w:iCs/>
          <w:color w:val="000000"/>
        </w:rPr>
        <w:t xml:space="preserve">decisions </w:t>
      </w:r>
      <w:r>
        <w:rPr>
          <w:rFonts w:ascii="Calibri" w:hAnsi="Calibri" w:cs="Calibri"/>
          <w:bCs/>
          <w:iCs/>
          <w:color w:val="000000"/>
        </w:rPr>
        <w:t xml:space="preserve">is a critical topic to many organisations, both commercially and ethically. This is exactly the kind of task that a Data Scientist can take on and leverage their skills to make a transformative impact, early on. </w:t>
      </w:r>
    </w:p>
    <w:p w14:paraId="3B96F9DA" w14:textId="0DAC77E2" w:rsidR="0086625A" w:rsidRDefault="0086625A" w:rsidP="002B5709">
      <w:pPr>
        <w:rPr>
          <w:rFonts w:ascii="Calibri" w:hAnsi="Calibri" w:cs="Calibri"/>
          <w:b/>
          <w:iCs/>
          <w:color w:val="000000"/>
        </w:rPr>
      </w:pPr>
      <w:r w:rsidRPr="002B5709">
        <w:rPr>
          <w:rFonts w:ascii="Calibri" w:hAnsi="Calibri" w:cs="Calibri"/>
          <w:b/>
          <w:iCs/>
          <w:color w:val="000000"/>
        </w:rPr>
        <w:t>The UK skills gap</w:t>
      </w:r>
      <w:r w:rsidR="00EB4904">
        <w:rPr>
          <w:rFonts w:ascii="Calibri" w:hAnsi="Calibri" w:cs="Calibri"/>
          <w:b/>
          <w:iCs/>
          <w:color w:val="000000"/>
        </w:rPr>
        <w:t xml:space="preserve"> and apprenticeships</w:t>
      </w:r>
    </w:p>
    <w:p w14:paraId="7F74CFBB" w14:textId="2346DDAC" w:rsidR="002B5709" w:rsidRDefault="001C0F18" w:rsidP="002B5709">
      <w:pPr>
        <w:rPr>
          <w:rFonts w:ascii="Calibri" w:hAnsi="Calibri" w:cs="Calibri"/>
          <w:bCs/>
          <w:iCs/>
          <w:color w:val="000000"/>
        </w:rPr>
      </w:pPr>
      <w:r>
        <w:rPr>
          <w:rFonts w:ascii="Calibri" w:hAnsi="Calibri" w:cs="Calibri"/>
          <w:bCs/>
          <w:iCs/>
          <w:color w:val="000000"/>
        </w:rPr>
        <w:t>In the UK, s</w:t>
      </w:r>
      <w:r w:rsidR="002B5709">
        <w:rPr>
          <w:rFonts w:ascii="Calibri" w:hAnsi="Calibri" w:cs="Calibri"/>
          <w:bCs/>
          <w:iCs/>
          <w:color w:val="000000"/>
        </w:rPr>
        <w:t xml:space="preserve">ome of the skills </w:t>
      </w:r>
      <w:r w:rsidR="00EB4904">
        <w:rPr>
          <w:rFonts w:ascii="Calibri" w:hAnsi="Calibri" w:cs="Calibri"/>
          <w:bCs/>
          <w:iCs/>
          <w:color w:val="000000"/>
        </w:rPr>
        <w:t xml:space="preserve">required to deliver on the data science paradigm </w:t>
      </w:r>
      <w:r w:rsidR="002B5709">
        <w:rPr>
          <w:rFonts w:ascii="Calibri" w:hAnsi="Calibri" w:cs="Calibri"/>
          <w:bCs/>
          <w:iCs/>
          <w:color w:val="000000"/>
        </w:rPr>
        <w:t xml:space="preserve">are not yet fully apparent or widespread – a widely understood example of this will be the ongoing need to understand the ethical use of data. </w:t>
      </w:r>
      <w:r>
        <w:rPr>
          <w:rFonts w:ascii="Calibri" w:hAnsi="Calibri" w:cs="Calibri"/>
          <w:bCs/>
          <w:iCs/>
          <w:color w:val="000000"/>
        </w:rPr>
        <w:t>So, c</w:t>
      </w:r>
      <w:r w:rsidR="002B5709">
        <w:rPr>
          <w:rFonts w:ascii="Calibri" w:hAnsi="Calibri" w:cs="Calibri"/>
          <w:bCs/>
          <w:iCs/>
          <w:color w:val="000000"/>
        </w:rPr>
        <w:t xml:space="preserve">ompliance departments of the future may </w:t>
      </w:r>
      <w:r>
        <w:rPr>
          <w:rFonts w:ascii="Calibri" w:hAnsi="Calibri" w:cs="Calibri"/>
          <w:bCs/>
          <w:iCs/>
          <w:color w:val="000000"/>
        </w:rPr>
        <w:t xml:space="preserve">well </w:t>
      </w:r>
      <w:r w:rsidR="002B5709">
        <w:rPr>
          <w:rFonts w:ascii="Calibri" w:hAnsi="Calibri" w:cs="Calibri"/>
          <w:bCs/>
          <w:iCs/>
          <w:color w:val="000000"/>
        </w:rPr>
        <w:t>be staffed by ‘data ethicists’ who monitor the organisations</w:t>
      </w:r>
      <w:r w:rsidR="00EB4904">
        <w:rPr>
          <w:rFonts w:ascii="Calibri" w:hAnsi="Calibri" w:cs="Calibri"/>
          <w:bCs/>
          <w:iCs/>
          <w:color w:val="000000"/>
        </w:rPr>
        <w:t>’</w:t>
      </w:r>
      <w:r w:rsidR="002B5709">
        <w:rPr>
          <w:rFonts w:ascii="Calibri" w:hAnsi="Calibri" w:cs="Calibri"/>
          <w:bCs/>
          <w:iCs/>
          <w:color w:val="000000"/>
        </w:rPr>
        <w:t xml:space="preserve"> data scientists </w:t>
      </w:r>
      <w:r w:rsidR="00EB4904">
        <w:rPr>
          <w:rFonts w:ascii="Calibri" w:hAnsi="Calibri" w:cs="Calibri"/>
          <w:bCs/>
          <w:iCs/>
          <w:color w:val="000000"/>
        </w:rPr>
        <w:t xml:space="preserve">to ensure appropriate behaviour, particularly as legal frameworks struggle to keep up with the pace of change. </w:t>
      </w:r>
    </w:p>
    <w:p w14:paraId="4ED5C906" w14:textId="600C8EE3" w:rsidR="00EB4904" w:rsidRDefault="00EB4904" w:rsidP="002B5709">
      <w:pPr>
        <w:rPr>
          <w:rFonts w:ascii="Calibri" w:hAnsi="Calibri" w:cs="Calibri"/>
          <w:bCs/>
          <w:iCs/>
          <w:color w:val="000000"/>
        </w:rPr>
      </w:pPr>
      <w:r>
        <w:rPr>
          <w:rFonts w:ascii="Calibri" w:hAnsi="Calibri" w:cs="Calibri"/>
          <w:bCs/>
          <w:iCs/>
          <w:color w:val="000000"/>
        </w:rPr>
        <w:t>But even when it comes to the immediately required skills, r</w:t>
      </w:r>
      <w:r w:rsidRPr="002B5709">
        <w:rPr>
          <w:rFonts w:ascii="Calibri" w:hAnsi="Calibri" w:cs="Calibri"/>
          <w:bCs/>
          <w:iCs/>
          <w:color w:val="000000"/>
        </w:rPr>
        <w:t xml:space="preserve">ecent research has shown that the UK has a chronic shortage of data talent, which is costing organisations more than £2 billion a year.  The government’s </w:t>
      </w:r>
      <w:hyperlink r:id="rId5" w:history="1">
        <w:r w:rsidRPr="00D33E1F">
          <w:rPr>
            <w:rStyle w:val="Hyperlink"/>
            <w:rFonts w:ascii="Calibri" w:hAnsi="Calibri" w:cs="Calibri"/>
            <w:bCs/>
            <w:iCs/>
          </w:rPr>
          <w:t>National Data Strategy</w:t>
        </w:r>
      </w:hyperlink>
      <w:r w:rsidRPr="002B5709">
        <w:rPr>
          <w:rFonts w:ascii="Calibri" w:hAnsi="Calibri" w:cs="Calibri"/>
          <w:bCs/>
          <w:iCs/>
          <w:color w:val="000000"/>
        </w:rPr>
        <w:t xml:space="preserve"> outlines its ambition to establish the UK as a world-leading data economy and highlights the need for firms to develop the core skills required to analyse data sets and bridge the data science skills gap.</w:t>
      </w:r>
    </w:p>
    <w:p w14:paraId="57B7B351" w14:textId="1A57AAB5" w:rsidR="00EB4904" w:rsidRDefault="00EB4904" w:rsidP="002B5709">
      <w:pPr>
        <w:rPr>
          <w:rFonts w:ascii="Calibri" w:hAnsi="Calibri" w:cs="Calibri"/>
          <w:bCs/>
          <w:iCs/>
          <w:color w:val="000000"/>
        </w:rPr>
      </w:pPr>
      <w:r>
        <w:rPr>
          <w:rFonts w:ascii="Calibri" w:hAnsi="Calibri" w:cs="Calibri"/>
          <w:bCs/>
          <w:iCs/>
          <w:color w:val="000000"/>
        </w:rPr>
        <w:t xml:space="preserve">Apprenticeships are a key tool in helping </w:t>
      </w:r>
      <w:r w:rsidR="001C0F18">
        <w:rPr>
          <w:rFonts w:ascii="Calibri" w:hAnsi="Calibri" w:cs="Calibri"/>
          <w:bCs/>
          <w:iCs/>
          <w:color w:val="000000"/>
        </w:rPr>
        <w:t xml:space="preserve">to overcome this skill gap by </w:t>
      </w:r>
      <w:r>
        <w:rPr>
          <w:rFonts w:ascii="Calibri" w:hAnsi="Calibri" w:cs="Calibri"/>
          <w:bCs/>
          <w:iCs/>
          <w:color w:val="000000"/>
        </w:rPr>
        <w:t>develop</w:t>
      </w:r>
      <w:r w:rsidR="001C0F18">
        <w:rPr>
          <w:rFonts w:ascii="Calibri" w:hAnsi="Calibri" w:cs="Calibri"/>
          <w:bCs/>
          <w:iCs/>
          <w:color w:val="000000"/>
        </w:rPr>
        <w:t>ing</w:t>
      </w:r>
      <w:r>
        <w:rPr>
          <w:rFonts w:ascii="Calibri" w:hAnsi="Calibri" w:cs="Calibri"/>
          <w:bCs/>
          <w:iCs/>
          <w:color w:val="000000"/>
        </w:rPr>
        <w:t xml:space="preserve"> these </w:t>
      </w:r>
      <w:r w:rsidR="001C0F18">
        <w:rPr>
          <w:rFonts w:ascii="Calibri" w:hAnsi="Calibri" w:cs="Calibri"/>
          <w:bCs/>
          <w:iCs/>
          <w:color w:val="000000"/>
        </w:rPr>
        <w:t xml:space="preserve">data management </w:t>
      </w:r>
      <w:r>
        <w:rPr>
          <w:rFonts w:ascii="Calibri" w:hAnsi="Calibri" w:cs="Calibri"/>
          <w:bCs/>
          <w:iCs/>
          <w:color w:val="000000"/>
        </w:rPr>
        <w:t>capabilities at the beginning of someone’s career. There are two apprenticeships standards available in this area – the Level 3 Data Technician and the Level 4 Data Analyst standard – that both help provide entrants into the profession with a strong grounding in practical, skills</w:t>
      </w:r>
      <w:r w:rsidR="001C0F18">
        <w:rPr>
          <w:rFonts w:ascii="Calibri" w:hAnsi="Calibri" w:cs="Calibri"/>
          <w:bCs/>
          <w:iCs/>
          <w:color w:val="000000"/>
        </w:rPr>
        <w:t>-</w:t>
      </w:r>
      <w:r>
        <w:rPr>
          <w:rFonts w:ascii="Calibri" w:hAnsi="Calibri" w:cs="Calibri"/>
          <w:bCs/>
          <w:iCs/>
          <w:color w:val="000000"/>
        </w:rPr>
        <w:t xml:space="preserve">based data science. The standards are well designed, and like all Apprenticeship Standards, have been designed by industry to be relevant to the real-world requirements of </w:t>
      </w:r>
      <w:r w:rsidR="00235C5D">
        <w:rPr>
          <w:rFonts w:ascii="Calibri" w:hAnsi="Calibri" w:cs="Calibri"/>
          <w:bCs/>
          <w:iCs/>
          <w:color w:val="000000"/>
        </w:rPr>
        <w:t>organisations.</w:t>
      </w:r>
    </w:p>
    <w:p w14:paraId="1AD41BF2" w14:textId="52826BFC" w:rsidR="0086625A" w:rsidRDefault="00235C5D" w:rsidP="00235C5D">
      <w:pPr>
        <w:rPr>
          <w:rFonts w:ascii="Calibri" w:hAnsi="Calibri" w:cs="Calibri"/>
          <w:b/>
          <w:iCs/>
          <w:color w:val="000000"/>
        </w:rPr>
      </w:pPr>
      <w:r>
        <w:rPr>
          <w:rFonts w:ascii="Calibri" w:hAnsi="Calibri" w:cs="Calibri"/>
          <w:b/>
          <w:iCs/>
          <w:color w:val="000000"/>
        </w:rPr>
        <w:t>How Fitch Learning can help</w:t>
      </w:r>
    </w:p>
    <w:p w14:paraId="70759329" w14:textId="00828ECA" w:rsidR="00235C5D" w:rsidRPr="00235C5D" w:rsidRDefault="00235C5D" w:rsidP="00235C5D">
      <w:pPr>
        <w:rPr>
          <w:rFonts w:ascii="Calibri" w:hAnsi="Calibri" w:cs="Calibri"/>
          <w:bCs/>
          <w:iCs/>
          <w:color w:val="000000"/>
        </w:rPr>
      </w:pPr>
      <w:r>
        <w:rPr>
          <w:rFonts w:ascii="Calibri" w:hAnsi="Calibri" w:cs="Calibri"/>
          <w:bCs/>
          <w:iCs/>
          <w:color w:val="000000"/>
        </w:rPr>
        <w:t xml:space="preserve">Fitch Learning </w:t>
      </w:r>
      <w:r w:rsidR="001C0F18">
        <w:rPr>
          <w:rFonts w:ascii="Calibri" w:hAnsi="Calibri" w:cs="Calibri"/>
          <w:bCs/>
          <w:iCs/>
          <w:color w:val="000000"/>
        </w:rPr>
        <w:t xml:space="preserve">has </w:t>
      </w:r>
      <w:r>
        <w:rPr>
          <w:rFonts w:ascii="Calibri" w:hAnsi="Calibri" w:cs="Calibri"/>
          <w:bCs/>
          <w:iCs/>
          <w:color w:val="000000"/>
        </w:rPr>
        <w:t>designed programmes to support both Apprenticeship standards</w:t>
      </w:r>
      <w:r w:rsidR="001C0F18">
        <w:rPr>
          <w:rFonts w:ascii="Calibri" w:hAnsi="Calibri" w:cs="Calibri"/>
          <w:bCs/>
          <w:iCs/>
          <w:color w:val="000000"/>
        </w:rPr>
        <w:t xml:space="preserve"> (Levels 3 and 4) </w:t>
      </w:r>
      <w:r>
        <w:rPr>
          <w:rFonts w:ascii="Calibri" w:hAnsi="Calibri" w:cs="Calibri"/>
          <w:bCs/>
          <w:iCs/>
          <w:color w:val="000000"/>
        </w:rPr>
        <w:t xml:space="preserve">in the Data Science space, targeted specifically at </w:t>
      </w:r>
      <w:r w:rsidR="001C0F18">
        <w:rPr>
          <w:rFonts w:ascii="Calibri" w:hAnsi="Calibri" w:cs="Calibri"/>
          <w:bCs/>
          <w:iCs/>
          <w:color w:val="000000"/>
        </w:rPr>
        <w:t xml:space="preserve">the </w:t>
      </w:r>
      <w:r>
        <w:rPr>
          <w:rFonts w:ascii="Calibri" w:hAnsi="Calibri" w:cs="Calibri"/>
          <w:bCs/>
          <w:iCs/>
          <w:color w:val="000000"/>
        </w:rPr>
        <w:t>Financial Services</w:t>
      </w:r>
      <w:r w:rsidR="001C0F18">
        <w:rPr>
          <w:rFonts w:ascii="Calibri" w:hAnsi="Calibri" w:cs="Calibri"/>
          <w:bCs/>
          <w:iCs/>
          <w:color w:val="000000"/>
        </w:rPr>
        <w:t xml:space="preserve"> industry</w:t>
      </w:r>
      <w:r>
        <w:rPr>
          <w:rFonts w:ascii="Calibri" w:hAnsi="Calibri" w:cs="Calibri"/>
          <w:bCs/>
          <w:iCs/>
          <w:color w:val="000000"/>
        </w:rPr>
        <w:t xml:space="preserve">. </w:t>
      </w:r>
      <w:r w:rsidR="001C0F18">
        <w:rPr>
          <w:rFonts w:ascii="Calibri" w:hAnsi="Calibri" w:cs="Calibri"/>
          <w:bCs/>
          <w:iCs/>
          <w:color w:val="000000"/>
        </w:rPr>
        <w:t>These programs have been b</w:t>
      </w:r>
      <w:r>
        <w:rPr>
          <w:rFonts w:ascii="Calibri" w:hAnsi="Calibri" w:cs="Calibri"/>
          <w:bCs/>
          <w:iCs/>
          <w:color w:val="000000"/>
        </w:rPr>
        <w:t>uilt from the ground up to be relevant to the industry we specialise in</w:t>
      </w:r>
      <w:r w:rsidR="001C0F18">
        <w:rPr>
          <w:rFonts w:ascii="Calibri" w:hAnsi="Calibri" w:cs="Calibri"/>
          <w:bCs/>
          <w:iCs/>
          <w:color w:val="000000"/>
        </w:rPr>
        <w:t>, and</w:t>
      </w:r>
      <w:r>
        <w:rPr>
          <w:rFonts w:ascii="Calibri" w:hAnsi="Calibri" w:cs="Calibri"/>
          <w:bCs/>
          <w:iCs/>
          <w:color w:val="000000"/>
        </w:rPr>
        <w:t xml:space="preserve"> they combine practical case study</w:t>
      </w:r>
      <w:r w:rsidR="00D33E1F">
        <w:rPr>
          <w:rFonts w:ascii="Calibri" w:hAnsi="Calibri" w:cs="Calibri"/>
          <w:bCs/>
          <w:iCs/>
          <w:color w:val="000000"/>
        </w:rPr>
        <w:t>-</w:t>
      </w:r>
      <w:r>
        <w:rPr>
          <w:rFonts w:ascii="Calibri" w:hAnsi="Calibri" w:cs="Calibri"/>
          <w:bCs/>
          <w:iCs/>
          <w:color w:val="000000"/>
        </w:rPr>
        <w:t>based approaches with a strong technical foundation of skills</w:t>
      </w:r>
      <w:r w:rsidR="00DF609D">
        <w:rPr>
          <w:rFonts w:ascii="Calibri" w:hAnsi="Calibri" w:cs="Calibri"/>
          <w:bCs/>
          <w:iCs/>
          <w:color w:val="000000"/>
        </w:rPr>
        <w:t>, plus certification upon completion from an accredited practitioner</w:t>
      </w:r>
      <w:r>
        <w:rPr>
          <w:rFonts w:ascii="Calibri" w:hAnsi="Calibri" w:cs="Calibri"/>
          <w:bCs/>
          <w:iCs/>
          <w:color w:val="000000"/>
        </w:rPr>
        <w:t xml:space="preserve">. You can find out more about our apprenticeship standards </w:t>
      </w:r>
      <w:hyperlink r:id="rId6" w:history="1">
        <w:r w:rsidRPr="00751BDA">
          <w:rPr>
            <w:rStyle w:val="Hyperlink"/>
            <w:rFonts w:ascii="Calibri" w:hAnsi="Calibri" w:cs="Calibri"/>
            <w:bCs/>
            <w:iCs/>
          </w:rPr>
          <w:t>here</w:t>
        </w:r>
      </w:hyperlink>
      <w:r>
        <w:rPr>
          <w:rFonts w:ascii="Calibri" w:hAnsi="Calibri" w:cs="Calibri"/>
          <w:bCs/>
          <w:iCs/>
          <w:color w:val="000000"/>
        </w:rPr>
        <w:t xml:space="preserve">. </w:t>
      </w:r>
    </w:p>
    <w:p w14:paraId="009794F6" w14:textId="77777777" w:rsidR="0086625A" w:rsidRDefault="0086625A" w:rsidP="005C0399">
      <w:pPr>
        <w:rPr>
          <w:rFonts w:ascii="Calibri" w:hAnsi="Calibri" w:cs="Calibri"/>
          <w:b/>
          <w:i/>
          <w:color w:val="000000"/>
        </w:rPr>
      </w:pPr>
    </w:p>
    <w:p w14:paraId="6960E6C0" w14:textId="12793A9F" w:rsidR="000818BB" w:rsidRPr="007660E3" w:rsidRDefault="000818BB" w:rsidP="007660E3">
      <w:pPr>
        <w:rPr>
          <w:rFonts w:ascii="Calibri" w:hAnsi="Calibri" w:cs="Calibri"/>
          <w:color w:val="000000"/>
        </w:rPr>
      </w:pPr>
    </w:p>
    <w:p w14:paraId="45814D0F" w14:textId="77777777" w:rsidR="00910843" w:rsidRPr="00D2448C" w:rsidRDefault="00910843" w:rsidP="00910843">
      <w:pPr>
        <w:pStyle w:val="ListParagraph"/>
        <w:rPr>
          <w:rFonts w:cstheme="minorHAnsi"/>
          <w:i/>
          <w:color w:val="000000"/>
        </w:rPr>
      </w:pPr>
    </w:p>
    <w:p w14:paraId="0C761537" w14:textId="77777777" w:rsidR="005C0399" w:rsidRPr="005C0399" w:rsidRDefault="005C0399"/>
    <w:sectPr w:rsidR="005C0399" w:rsidRPr="005C039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3524" w16cex:dateUtc="2021-05-12T10:0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D39EC"/>
    <w:multiLevelType w:val="hybridMultilevel"/>
    <w:tmpl w:val="9AAC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40355"/>
    <w:multiLevelType w:val="hybridMultilevel"/>
    <w:tmpl w:val="0D3E58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366FA"/>
    <w:multiLevelType w:val="hybridMultilevel"/>
    <w:tmpl w:val="B9AE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D226E7"/>
    <w:multiLevelType w:val="hybridMultilevel"/>
    <w:tmpl w:val="4664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A0"/>
    <w:rsid w:val="0003769E"/>
    <w:rsid w:val="00070036"/>
    <w:rsid w:val="000818BB"/>
    <w:rsid w:val="000D005F"/>
    <w:rsid w:val="0012699A"/>
    <w:rsid w:val="001C0F18"/>
    <w:rsid w:val="00211A6C"/>
    <w:rsid w:val="00215424"/>
    <w:rsid w:val="00215D59"/>
    <w:rsid w:val="00235C5D"/>
    <w:rsid w:val="002B5709"/>
    <w:rsid w:val="003D70DB"/>
    <w:rsid w:val="00416A95"/>
    <w:rsid w:val="004858F7"/>
    <w:rsid w:val="0048781F"/>
    <w:rsid w:val="004A50C3"/>
    <w:rsid w:val="004B48B7"/>
    <w:rsid w:val="00570F1C"/>
    <w:rsid w:val="005C0399"/>
    <w:rsid w:val="006526A0"/>
    <w:rsid w:val="00730A9B"/>
    <w:rsid w:val="00751BDA"/>
    <w:rsid w:val="00757AB7"/>
    <w:rsid w:val="007660E3"/>
    <w:rsid w:val="007C4C51"/>
    <w:rsid w:val="0086625A"/>
    <w:rsid w:val="008F3678"/>
    <w:rsid w:val="00910843"/>
    <w:rsid w:val="009519FE"/>
    <w:rsid w:val="00AA77AD"/>
    <w:rsid w:val="00B95D8C"/>
    <w:rsid w:val="00BE3147"/>
    <w:rsid w:val="00C546F0"/>
    <w:rsid w:val="00D06A6E"/>
    <w:rsid w:val="00D2448C"/>
    <w:rsid w:val="00D33E1F"/>
    <w:rsid w:val="00D51458"/>
    <w:rsid w:val="00DF609D"/>
    <w:rsid w:val="00E25637"/>
    <w:rsid w:val="00EA33EB"/>
    <w:rsid w:val="00EB4904"/>
    <w:rsid w:val="00F0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ACB6"/>
  <w15:chartTrackingRefBased/>
  <w15:docId w15:val="{0F4F2888-3CBA-46AC-A7CD-29ACDDE9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036"/>
  </w:style>
  <w:style w:type="paragraph" w:styleId="Heading1">
    <w:name w:val="heading 1"/>
    <w:basedOn w:val="Normal"/>
    <w:link w:val="Heading1Char"/>
    <w:uiPriority w:val="9"/>
    <w:qFormat/>
    <w:rsid w:val="00757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8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399"/>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5C0399"/>
    <w:pPr>
      <w:spacing w:after="200" w:line="276" w:lineRule="auto"/>
      <w:ind w:left="720"/>
      <w:contextualSpacing/>
    </w:pPr>
    <w:rPr>
      <w:lang w:val="en-US"/>
    </w:rPr>
  </w:style>
  <w:style w:type="character" w:styleId="Hyperlink">
    <w:name w:val="Hyperlink"/>
    <w:basedOn w:val="DefaultParagraphFont"/>
    <w:uiPriority w:val="99"/>
    <w:unhideWhenUsed/>
    <w:rsid w:val="005C0399"/>
    <w:rPr>
      <w:color w:val="0563C1" w:themeColor="hyperlink"/>
      <w:u w:val="single"/>
    </w:rPr>
  </w:style>
  <w:style w:type="character" w:styleId="UnresolvedMention">
    <w:name w:val="Unresolved Mention"/>
    <w:basedOn w:val="DefaultParagraphFont"/>
    <w:uiPriority w:val="99"/>
    <w:semiHidden/>
    <w:unhideWhenUsed/>
    <w:rsid w:val="00757AB7"/>
    <w:rPr>
      <w:color w:val="605E5C"/>
      <w:shd w:val="clear" w:color="auto" w:fill="E1DFDD"/>
    </w:rPr>
  </w:style>
  <w:style w:type="character" w:customStyle="1" w:styleId="Heading1Char">
    <w:name w:val="Heading 1 Char"/>
    <w:basedOn w:val="DefaultParagraphFont"/>
    <w:link w:val="Heading1"/>
    <w:uiPriority w:val="9"/>
    <w:rsid w:val="00757AB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0818B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D70DB"/>
    <w:rPr>
      <w:color w:val="954F72" w:themeColor="followedHyperlink"/>
      <w:u w:val="single"/>
    </w:rPr>
  </w:style>
  <w:style w:type="character" w:styleId="CommentReference">
    <w:name w:val="annotation reference"/>
    <w:basedOn w:val="DefaultParagraphFont"/>
    <w:uiPriority w:val="99"/>
    <w:semiHidden/>
    <w:unhideWhenUsed/>
    <w:rsid w:val="0003769E"/>
    <w:rPr>
      <w:sz w:val="16"/>
      <w:szCs w:val="16"/>
    </w:rPr>
  </w:style>
  <w:style w:type="paragraph" w:styleId="CommentText">
    <w:name w:val="annotation text"/>
    <w:basedOn w:val="Normal"/>
    <w:link w:val="CommentTextChar"/>
    <w:uiPriority w:val="99"/>
    <w:semiHidden/>
    <w:unhideWhenUsed/>
    <w:rsid w:val="0003769E"/>
    <w:pPr>
      <w:spacing w:line="240" w:lineRule="auto"/>
    </w:pPr>
    <w:rPr>
      <w:sz w:val="20"/>
      <w:szCs w:val="20"/>
    </w:rPr>
  </w:style>
  <w:style w:type="character" w:customStyle="1" w:styleId="CommentTextChar">
    <w:name w:val="Comment Text Char"/>
    <w:basedOn w:val="DefaultParagraphFont"/>
    <w:link w:val="CommentText"/>
    <w:uiPriority w:val="99"/>
    <w:semiHidden/>
    <w:rsid w:val="0003769E"/>
    <w:rPr>
      <w:sz w:val="20"/>
      <w:szCs w:val="20"/>
    </w:rPr>
  </w:style>
  <w:style w:type="paragraph" w:styleId="CommentSubject">
    <w:name w:val="annotation subject"/>
    <w:basedOn w:val="CommentText"/>
    <w:next w:val="CommentText"/>
    <w:link w:val="CommentSubjectChar"/>
    <w:uiPriority w:val="99"/>
    <w:semiHidden/>
    <w:unhideWhenUsed/>
    <w:rsid w:val="0003769E"/>
    <w:rPr>
      <w:b/>
      <w:bCs/>
    </w:rPr>
  </w:style>
  <w:style w:type="character" w:customStyle="1" w:styleId="CommentSubjectChar">
    <w:name w:val="Comment Subject Char"/>
    <w:basedOn w:val="CommentTextChar"/>
    <w:link w:val="CommentSubject"/>
    <w:uiPriority w:val="99"/>
    <w:semiHidden/>
    <w:rsid w:val="0003769E"/>
    <w:rPr>
      <w:b/>
      <w:bCs/>
      <w:sz w:val="20"/>
      <w:szCs w:val="20"/>
    </w:rPr>
  </w:style>
  <w:style w:type="paragraph" w:styleId="BalloonText">
    <w:name w:val="Balloon Text"/>
    <w:basedOn w:val="Normal"/>
    <w:link w:val="BalloonTextChar"/>
    <w:uiPriority w:val="99"/>
    <w:semiHidden/>
    <w:unhideWhenUsed/>
    <w:rsid w:val="00037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41733">
      <w:bodyDiv w:val="1"/>
      <w:marLeft w:val="0"/>
      <w:marRight w:val="0"/>
      <w:marTop w:val="0"/>
      <w:marBottom w:val="0"/>
      <w:divBdr>
        <w:top w:val="none" w:sz="0" w:space="0" w:color="auto"/>
        <w:left w:val="none" w:sz="0" w:space="0" w:color="auto"/>
        <w:bottom w:val="none" w:sz="0" w:space="0" w:color="auto"/>
        <w:right w:val="none" w:sz="0" w:space="0" w:color="auto"/>
      </w:divBdr>
    </w:div>
    <w:div w:id="530843487">
      <w:bodyDiv w:val="1"/>
      <w:marLeft w:val="0"/>
      <w:marRight w:val="0"/>
      <w:marTop w:val="0"/>
      <w:marBottom w:val="0"/>
      <w:divBdr>
        <w:top w:val="none" w:sz="0" w:space="0" w:color="auto"/>
        <w:left w:val="none" w:sz="0" w:space="0" w:color="auto"/>
        <w:bottom w:val="none" w:sz="0" w:space="0" w:color="auto"/>
        <w:right w:val="none" w:sz="0" w:space="0" w:color="auto"/>
      </w:divBdr>
      <w:divsChild>
        <w:div w:id="879703121">
          <w:marLeft w:val="0"/>
          <w:marRight w:val="0"/>
          <w:marTop w:val="0"/>
          <w:marBottom w:val="750"/>
          <w:divBdr>
            <w:top w:val="none" w:sz="0" w:space="0" w:color="auto"/>
            <w:left w:val="none" w:sz="0" w:space="0" w:color="auto"/>
            <w:bottom w:val="none" w:sz="0" w:space="0" w:color="auto"/>
            <w:right w:val="none" w:sz="0" w:space="0" w:color="auto"/>
          </w:divBdr>
          <w:divsChild>
            <w:div w:id="1096943277">
              <w:marLeft w:val="0"/>
              <w:marRight w:val="0"/>
              <w:marTop w:val="0"/>
              <w:marBottom w:val="0"/>
              <w:divBdr>
                <w:top w:val="none" w:sz="0" w:space="0" w:color="auto"/>
                <w:left w:val="none" w:sz="0" w:space="0" w:color="auto"/>
                <w:bottom w:val="none" w:sz="0" w:space="0" w:color="auto"/>
                <w:right w:val="none" w:sz="0" w:space="0" w:color="auto"/>
              </w:divBdr>
              <w:divsChild>
                <w:div w:id="437453092">
                  <w:marLeft w:val="0"/>
                  <w:marRight w:val="0"/>
                  <w:marTop w:val="0"/>
                  <w:marBottom w:val="0"/>
                  <w:divBdr>
                    <w:top w:val="none" w:sz="0" w:space="0" w:color="auto"/>
                    <w:left w:val="none" w:sz="0" w:space="0" w:color="auto"/>
                    <w:bottom w:val="none" w:sz="0" w:space="0" w:color="auto"/>
                    <w:right w:val="none" w:sz="0" w:space="0" w:color="auto"/>
                  </w:divBdr>
                  <w:divsChild>
                    <w:div w:id="1623998225">
                      <w:marLeft w:val="0"/>
                      <w:marRight w:val="0"/>
                      <w:marTop w:val="0"/>
                      <w:marBottom w:val="0"/>
                      <w:divBdr>
                        <w:top w:val="none" w:sz="0" w:space="0" w:color="auto"/>
                        <w:left w:val="none" w:sz="0" w:space="0" w:color="auto"/>
                        <w:bottom w:val="none" w:sz="0" w:space="0" w:color="auto"/>
                        <w:right w:val="none" w:sz="0" w:space="0" w:color="auto"/>
                      </w:divBdr>
                      <w:divsChild>
                        <w:div w:id="18293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155194">
      <w:bodyDiv w:val="1"/>
      <w:marLeft w:val="0"/>
      <w:marRight w:val="0"/>
      <w:marTop w:val="0"/>
      <w:marBottom w:val="0"/>
      <w:divBdr>
        <w:top w:val="none" w:sz="0" w:space="0" w:color="auto"/>
        <w:left w:val="none" w:sz="0" w:space="0" w:color="auto"/>
        <w:bottom w:val="none" w:sz="0" w:space="0" w:color="auto"/>
        <w:right w:val="none" w:sz="0" w:space="0" w:color="auto"/>
      </w:divBdr>
    </w:div>
    <w:div w:id="1550218814">
      <w:bodyDiv w:val="1"/>
      <w:marLeft w:val="0"/>
      <w:marRight w:val="0"/>
      <w:marTop w:val="0"/>
      <w:marBottom w:val="0"/>
      <w:divBdr>
        <w:top w:val="none" w:sz="0" w:space="0" w:color="auto"/>
        <w:left w:val="none" w:sz="0" w:space="0" w:color="auto"/>
        <w:bottom w:val="none" w:sz="0" w:space="0" w:color="auto"/>
        <w:right w:val="none" w:sz="0" w:space="0" w:color="auto"/>
      </w:divBdr>
    </w:div>
    <w:div w:id="1651984399">
      <w:bodyDiv w:val="1"/>
      <w:marLeft w:val="0"/>
      <w:marRight w:val="0"/>
      <w:marTop w:val="0"/>
      <w:marBottom w:val="0"/>
      <w:divBdr>
        <w:top w:val="none" w:sz="0" w:space="0" w:color="auto"/>
        <w:left w:val="none" w:sz="0" w:space="0" w:color="auto"/>
        <w:bottom w:val="none" w:sz="0" w:space="0" w:color="auto"/>
        <w:right w:val="none" w:sz="0" w:space="0" w:color="auto"/>
      </w:divBdr>
    </w:div>
    <w:div w:id="204336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tchlearning.com/financial-services-apprenticeships/" TargetMode="External"/><Relationship Id="rId5" Type="http://schemas.openxmlformats.org/officeDocument/2006/relationships/hyperlink" Target="https://www.gov.uk/guidance/national-data-strategy"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FitchGroup</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Louisa</dc:creator>
  <cp:keywords/>
  <dc:description/>
  <cp:lastModifiedBy>Williams, Louisa</cp:lastModifiedBy>
  <cp:revision>2</cp:revision>
  <dcterms:created xsi:type="dcterms:W3CDTF">2021-05-20T11:53:00Z</dcterms:created>
  <dcterms:modified xsi:type="dcterms:W3CDTF">2021-05-20T11:53:00Z</dcterms:modified>
</cp:coreProperties>
</file>